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eastAsia="zh-CN"/>
        </w:rPr>
        <w:t>附件</w:t>
      </w:r>
      <w:r>
        <w:rPr>
          <w:rFonts w:hint="eastAsia" w:ascii="仿宋_GB2312" w:hAnsi="仿宋_GB2312" w:eastAsia="仿宋_GB2312" w:cs="仿宋_GB2312"/>
          <w:b/>
          <w:bCs/>
          <w:sz w:val="24"/>
          <w:szCs w:val="24"/>
          <w:lang w:val="en-US" w:eastAsia="zh-CN"/>
        </w:rPr>
        <w:t>2</w:t>
      </w:r>
      <w:bookmarkStart w:id="0" w:name="_GoBack"/>
      <w:bookmarkEnd w:id="0"/>
      <w:r>
        <w:rPr>
          <w:rFonts w:hint="eastAsia" w:ascii="仿宋_GB2312" w:hAnsi="仿宋_GB2312" w:eastAsia="仿宋_GB2312" w:cs="仿宋_GB2312"/>
          <w:b/>
          <w:bCs/>
          <w:sz w:val="24"/>
          <w:szCs w:val="24"/>
        </w:rPr>
        <w:t>：</w:t>
      </w:r>
    </w:p>
    <w:p>
      <w:pPr>
        <w:jc w:val="center"/>
        <w:rPr>
          <w:rFonts w:hint="eastAsia"/>
          <w:b/>
          <w:sz w:val="30"/>
          <w:szCs w:val="30"/>
        </w:rPr>
      </w:pPr>
      <w:r>
        <w:rPr>
          <w:rFonts w:hint="eastAsia"/>
          <w:b/>
          <w:sz w:val="30"/>
          <w:szCs w:val="30"/>
          <w:lang w:eastAsia="zh-CN"/>
        </w:rPr>
        <w:t>运城职业技术学院</w:t>
      </w:r>
      <w:r>
        <w:rPr>
          <w:rFonts w:hint="eastAsia"/>
          <w:b/>
          <w:sz w:val="30"/>
          <w:szCs w:val="30"/>
        </w:rPr>
        <w:t>家庭经济困难学生认定量化评分自评表</w:t>
      </w:r>
    </w:p>
    <w:p>
      <w:pPr>
        <w:spacing w:line="300" w:lineRule="exact"/>
        <w:ind w:firstLine="402" w:firstLineChars="200"/>
        <w:rPr>
          <w:rFonts w:hint="eastAsia"/>
          <w:b/>
          <w:sz w:val="20"/>
          <w:szCs w:val="21"/>
        </w:rPr>
      </w:pPr>
      <w:r>
        <w:rPr>
          <w:rFonts w:hint="eastAsia"/>
          <w:b/>
          <w:sz w:val="20"/>
          <w:szCs w:val="21"/>
          <w:lang w:eastAsia="zh-CN"/>
        </w:rPr>
        <w:t>系别：</w:t>
      </w:r>
      <w:r>
        <w:rPr>
          <w:rFonts w:hint="eastAsia"/>
          <w:b/>
          <w:sz w:val="20"/>
          <w:szCs w:val="21"/>
          <w:lang w:val="en-US" w:eastAsia="zh-CN"/>
        </w:rPr>
        <w:t xml:space="preserve">                 </w:t>
      </w:r>
      <w:r>
        <w:rPr>
          <w:rFonts w:hint="eastAsia"/>
          <w:b/>
          <w:sz w:val="20"/>
          <w:szCs w:val="21"/>
        </w:rPr>
        <w:t xml:space="preserve">姓名：               </w:t>
      </w:r>
      <w:r>
        <w:rPr>
          <w:rFonts w:hint="eastAsia"/>
          <w:b/>
          <w:sz w:val="20"/>
          <w:szCs w:val="21"/>
          <w:lang w:val="en-US" w:eastAsia="zh-CN"/>
        </w:rPr>
        <w:t xml:space="preserve">       学号：                  </w:t>
      </w:r>
      <w:r>
        <w:rPr>
          <w:rFonts w:hint="eastAsia"/>
          <w:b/>
          <w:sz w:val="20"/>
          <w:szCs w:val="21"/>
        </w:rPr>
        <w:t xml:space="preserve">班级：                  </w:t>
      </w:r>
    </w:p>
    <w:tbl>
      <w:tblPr>
        <w:tblStyle w:val="3"/>
        <w:tblW w:w="10029" w:type="dxa"/>
        <w:jc w:val="center"/>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6783"/>
        <w:gridCol w:w="691"/>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800" w:type="dxa"/>
            <w:vAlign w:val="center"/>
          </w:tcPr>
          <w:p>
            <w:pPr>
              <w:jc w:val="center"/>
              <w:rPr>
                <w:bCs/>
                <w:szCs w:val="21"/>
              </w:rPr>
            </w:pPr>
            <w:r>
              <w:rPr>
                <w:rFonts w:hint="eastAsia"/>
                <w:bCs/>
                <w:szCs w:val="21"/>
              </w:rPr>
              <w:t>项目</w:t>
            </w:r>
          </w:p>
        </w:tc>
        <w:tc>
          <w:tcPr>
            <w:tcW w:w="6783" w:type="dxa"/>
            <w:vAlign w:val="center"/>
          </w:tcPr>
          <w:p>
            <w:pPr>
              <w:jc w:val="center"/>
              <w:rPr>
                <w:rFonts w:ascii="宋体" w:hAnsi="宋体" w:cs="宋体"/>
                <w:bCs/>
                <w:szCs w:val="21"/>
              </w:rPr>
            </w:pPr>
            <w:r>
              <w:rPr>
                <w:rFonts w:hint="eastAsia"/>
                <w:bCs/>
                <w:szCs w:val="21"/>
              </w:rPr>
              <w:t>评  分  标  准</w:t>
            </w:r>
          </w:p>
        </w:tc>
        <w:tc>
          <w:tcPr>
            <w:tcW w:w="691" w:type="dxa"/>
            <w:vAlign w:val="center"/>
          </w:tcPr>
          <w:p>
            <w:pPr>
              <w:jc w:val="center"/>
              <w:rPr>
                <w:rFonts w:hint="eastAsia"/>
                <w:szCs w:val="21"/>
              </w:rPr>
            </w:pPr>
            <w:r>
              <w:rPr>
                <w:rFonts w:hint="eastAsia"/>
                <w:szCs w:val="21"/>
              </w:rPr>
              <w:t>分值</w:t>
            </w:r>
          </w:p>
        </w:tc>
        <w:tc>
          <w:tcPr>
            <w:tcW w:w="1755" w:type="dxa"/>
            <w:vAlign w:val="center"/>
          </w:tcPr>
          <w:p>
            <w:pPr>
              <w:jc w:val="center"/>
              <w:rPr>
                <w:rFonts w:hint="eastAsia"/>
                <w:szCs w:val="21"/>
              </w:rPr>
            </w:pPr>
            <w:r>
              <w:rPr>
                <w:rFonts w:hint="eastAsia"/>
                <w:szCs w:val="21"/>
              </w:rPr>
              <w:t>认定等级说明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jc w:val="center"/>
        </w:trPr>
        <w:tc>
          <w:tcPr>
            <w:tcW w:w="800" w:type="dxa"/>
            <w:vMerge w:val="restart"/>
            <w:vAlign w:val="center"/>
          </w:tcPr>
          <w:p>
            <w:pPr>
              <w:jc w:val="center"/>
              <w:rPr>
                <w:rFonts w:hint="eastAsia"/>
                <w:bCs/>
                <w:szCs w:val="21"/>
              </w:rPr>
            </w:pPr>
            <w:r>
              <w:rPr>
                <w:rFonts w:hint="eastAsia"/>
                <w:bCs/>
                <w:szCs w:val="21"/>
              </w:rPr>
              <w:t>家</w:t>
            </w:r>
          </w:p>
          <w:p>
            <w:pPr>
              <w:jc w:val="center"/>
              <w:rPr>
                <w:rFonts w:hint="eastAsia"/>
                <w:bCs/>
                <w:szCs w:val="21"/>
              </w:rPr>
            </w:pPr>
            <w:r>
              <w:rPr>
                <w:rFonts w:hint="eastAsia"/>
                <w:bCs/>
                <w:szCs w:val="21"/>
              </w:rPr>
              <w:t>庭</w:t>
            </w:r>
          </w:p>
          <w:p>
            <w:pPr>
              <w:jc w:val="center"/>
              <w:rPr>
                <w:rFonts w:hint="eastAsia"/>
                <w:bCs/>
                <w:szCs w:val="21"/>
              </w:rPr>
            </w:pPr>
            <w:r>
              <w:rPr>
                <w:rFonts w:hint="eastAsia"/>
                <w:bCs/>
                <w:szCs w:val="21"/>
              </w:rPr>
              <w:t>经</w:t>
            </w:r>
          </w:p>
          <w:p>
            <w:pPr>
              <w:jc w:val="center"/>
              <w:rPr>
                <w:rFonts w:hint="eastAsia"/>
                <w:bCs/>
                <w:szCs w:val="21"/>
              </w:rPr>
            </w:pPr>
            <w:r>
              <w:rPr>
                <w:rFonts w:hint="eastAsia"/>
                <w:bCs/>
                <w:szCs w:val="21"/>
              </w:rPr>
              <w:t>济</w:t>
            </w:r>
          </w:p>
          <w:p>
            <w:pPr>
              <w:jc w:val="center"/>
              <w:rPr>
                <w:rFonts w:hint="eastAsia"/>
                <w:bCs/>
                <w:szCs w:val="21"/>
              </w:rPr>
            </w:pPr>
            <w:r>
              <w:rPr>
                <w:rFonts w:hint="eastAsia"/>
                <w:bCs/>
                <w:szCs w:val="21"/>
              </w:rPr>
              <w:t>状</w:t>
            </w:r>
          </w:p>
          <w:p>
            <w:pPr>
              <w:jc w:val="center"/>
              <w:rPr>
                <w:rFonts w:hint="eastAsia"/>
                <w:bCs/>
                <w:szCs w:val="21"/>
              </w:rPr>
            </w:pPr>
            <w:r>
              <w:rPr>
                <w:rFonts w:hint="eastAsia"/>
                <w:bCs/>
                <w:szCs w:val="21"/>
              </w:rPr>
              <w:t>况</w:t>
            </w:r>
          </w:p>
          <w:p>
            <w:pPr>
              <w:jc w:val="center"/>
              <w:rPr>
                <w:rFonts w:hint="eastAsia"/>
                <w:bCs/>
                <w:szCs w:val="21"/>
              </w:rPr>
            </w:pPr>
            <w:r>
              <w:rPr>
                <w:rFonts w:hint="eastAsia"/>
                <w:bCs/>
                <w:szCs w:val="21"/>
                <w:lang w:val="en-US" w:eastAsia="zh-CN"/>
              </w:rPr>
              <w:t>4</w:t>
            </w:r>
            <w:r>
              <w:rPr>
                <w:rFonts w:hint="eastAsia"/>
                <w:bCs/>
                <w:szCs w:val="21"/>
              </w:rPr>
              <w:t>0%</w:t>
            </w:r>
          </w:p>
        </w:tc>
        <w:tc>
          <w:tcPr>
            <w:tcW w:w="6783" w:type="dxa"/>
            <w:vAlign w:val="center"/>
          </w:tcPr>
          <w:p>
            <w:pPr>
              <w:rPr>
                <w:rFonts w:ascii="宋体" w:hAnsi="宋体" w:cs="宋体"/>
                <w:bCs/>
                <w:sz w:val="18"/>
                <w:szCs w:val="18"/>
              </w:rPr>
            </w:pPr>
            <w:r>
              <w:rPr>
                <w:rFonts w:hint="eastAsia"/>
                <w:bCs/>
                <w:sz w:val="18"/>
                <w:szCs w:val="18"/>
                <w:lang w:val="en-US" w:eastAsia="zh-CN"/>
              </w:rPr>
              <w:t>1</w:t>
            </w:r>
            <w:r>
              <w:rPr>
                <w:rFonts w:hint="eastAsia"/>
                <w:bCs/>
                <w:sz w:val="18"/>
                <w:szCs w:val="18"/>
              </w:rPr>
              <w:t>、父母双亡或烈士子女（10分）；单亲家庭子女（8分）；父母丧失劳动能力或父母双双下岗（有相关证明材料）（8分);1</w:t>
            </w:r>
          </w:p>
        </w:tc>
        <w:tc>
          <w:tcPr>
            <w:tcW w:w="691" w:type="dxa"/>
            <w:vAlign w:val="center"/>
          </w:tcPr>
          <w:p>
            <w:pPr>
              <w:jc w:val="center"/>
              <w:rPr>
                <w:rFonts w:hint="eastAsia"/>
                <w:szCs w:val="21"/>
              </w:rPr>
            </w:pPr>
          </w:p>
        </w:tc>
        <w:tc>
          <w:tcPr>
            <w:tcW w:w="1755" w:type="dxa"/>
            <w:vMerge w:val="restart"/>
            <w:vAlign w:val="top"/>
          </w:tcPr>
          <w:p>
            <w:pPr>
              <w:rPr>
                <w:rFonts w:hint="eastAsia"/>
                <w:sz w:val="18"/>
                <w:szCs w:val="18"/>
              </w:rPr>
            </w:pPr>
            <w:r>
              <w:rPr>
                <w:rFonts w:hint="eastAsia"/>
                <w:sz w:val="18"/>
                <w:szCs w:val="18"/>
              </w:rPr>
              <w:t>1、贫困生认定分为</w:t>
            </w:r>
            <w:r>
              <w:rPr>
                <w:rFonts w:hint="eastAsia"/>
                <w:sz w:val="18"/>
                <w:szCs w:val="18"/>
                <w:lang w:val="en-US" w:eastAsia="zh-CN"/>
              </w:rPr>
              <w:t>两</w:t>
            </w:r>
            <w:r>
              <w:rPr>
                <w:rFonts w:hint="eastAsia"/>
                <w:sz w:val="18"/>
                <w:szCs w:val="18"/>
              </w:rPr>
              <w:t>个等级：</w:t>
            </w:r>
          </w:p>
          <w:p>
            <w:pPr>
              <w:rPr>
                <w:rFonts w:hint="eastAsia"/>
                <w:sz w:val="18"/>
                <w:szCs w:val="18"/>
              </w:rPr>
            </w:pPr>
            <w:r>
              <w:rPr>
                <w:rFonts w:hint="eastAsia"/>
                <w:sz w:val="18"/>
                <w:szCs w:val="18"/>
              </w:rPr>
              <w:t>⑴、一</w:t>
            </w:r>
            <w:r>
              <w:rPr>
                <w:rFonts w:hint="eastAsia"/>
                <w:sz w:val="18"/>
                <w:szCs w:val="18"/>
                <w:lang w:eastAsia="zh-CN"/>
              </w:rPr>
              <w:t>等</w:t>
            </w:r>
            <w:r>
              <w:rPr>
                <w:rFonts w:hint="eastAsia"/>
                <w:sz w:val="18"/>
                <w:szCs w:val="18"/>
              </w:rPr>
              <w:t>级：85分以上；</w:t>
            </w:r>
          </w:p>
          <w:p>
            <w:pPr>
              <w:rPr>
                <w:rFonts w:hint="eastAsia"/>
                <w:sz w:val="18"/>
                <w:szCs w:val="18"/>
              </w:rPr>
            </w:pPr>
            <w:r>
              <w:rPr>
                <w:rFonts w:hint="eastAsia"/>
                <w:sz w:val="18"/>
                <w:szCs w:val="18"/>
              </w:rPr>
              <w:t>⑵、二</w:t>
            </w:r>
            <w:r>
              <w:rPr>
                <w:rFonts w:hint="eastAsia"/>
                <w:sz w:val="18"/>
                <w:szCs w:val="18"/>
                <w:lang w:eastAsia="zh-CN"/>
              </w:rPr>
              <w:t>等</w:t>
            </w:r>
            <w:r>
              <w:rPr>
                <w:rFonts w:hint="eastAsia"/>
                <w:sz w:val="18"/>
                <w:szCs w:val="18"/>
              </w:rPr>
              <w:t>级：</w:t>
            </w:r>
            <w:r>
              <w:rPr>
                <w:rFonts w:hint="eastAsia"/>
                <w:sz w:val="18"/>
                <w:szCs w:val="18"/>
                <w:lang w:val="en-US" w:eastAsia="zh-CN"/>
              </w:rPr>
              <w:t>85</w:t>
            </w:r>
            <w:r>
              <w:rPr>
                <w:rFonts w:hint="eastAsia"/>
                <w:sz w:val="18"/>
                <w:szCs w:val="18"/>
              </w:rPr>
              <w:t>-</w:t>
            </w:r>
            <w:r>
              <w:rPr>
                <w:rFonts w:hint="eastAsia"/>
                <w:sz w:val="18"/>
                <w:szCs w:val="18"/>
                <w:lang w:val="en-US" w:eastAsia="zh-CN"/>
              </w:rPr>
              <w:t>60</w:t>
            </w:r>
            <w:r>
              <w:rPr>
                <w:rFonts w:hint="eastAsia"/>
                <w:sz w:val="18"/>
                <w:szCs w:val="18"/>
              </w:rPr>
              <w:t>分；</w:t>
            </w:r>
          </w:p>
          <w:p>
            <w:pPr>
              <w:rPr>
                <w:rFonts w:hint="eastAsia"/>
                <w:sz w:val="18"/>
                <w:szCs w:val="18"/>
              </w:rPr>
            </w:pPr>
            <w:r>
              <w:rPr>
                <w:rFonts w:hint="eastAsia"/>
                <w:sz w:val="18"/>
                <w:szCs w:val="18"/>
              </w:rPr>
              <w:t>2、60分以下不能认定为贫困学生。但家庭经济属于比较困难的学生可按排序列入可照顾对象。在国家资助资金允许的情况下，根据其家庭经济困难的程度给予一定的资助。</w:t>
            </w:r>
          </w:p>
          <w:p>
            <w:pPr>
              <w:rPr>
                <w:rFonts w:hint="eastAsia"/>
                <w:sz w:val="18"/>
                <w:szCs w:val="18"/>
              </w:rPr>
            </w:pPr>
            <w:r>
              <w:rPr>
                <w:rFonts w:hint="eastAsia"/>
                <w:sz w:val="18"/>
                <w:szCs w:val="18"/>
              </w:rPr>
              <w:t>4、贫困生认定程序</w:t>
            </w:r>
          </w:p>
          <w:p>
            <w:pPr>
              <w:rPr>
                <w:rFonts w:hint="eastAsia"/>
                <w:sz w:val="18"/>
                <w:szCs w:val="18"/>
              </w:rPr>
            </w:pPr>
            <w:r>
              <w:rPr>
                <w:rFonts w:hint="eastAsia"/>
                <w:sz w:val="18"/>
                <w:szCs w:val="18"/>
              </w:rPr>
              <w:t>⑴、学生本人申请，附贫困证明材料（农村：村、乡镇、县民政部门，城市：居委会、街办事处、区民政部门公章）。</w:t>
            </w:r>
          </w:p>
          <w:p>
            <w:pPr>
              <w:rPr>
                <w:rFonts w:hint="eastAsia"/>
                <w:sz w:val="18"/>
                <w:szCs w:val="18"/>
              </w:rPr>
            </w:pPr>
            <w:r>
              <w:rPr>
                <w:rFonts w:hint="eastAsia"/>
                <w:sz w:val="18"/>
                <w:szCs w:val="18"/>
              </w:rPr>
              <w:t>⑵、辅导员进行资格审查，符合条件的学生填写贫困生认定申请表。</w:t>
            </w:r>
          </w:p>
          <w:p>
            <w:pPr>
              <w:rPr>
                <w:rFonts w:hint="eastAsia"/>
                <w:sz w:val="18"/>
                <w:szCs w:val="18"/>
              </w:rPr>
            </w:pPr>
            <w:r>
              <w:rPr>
                <w:rFonts w:hint="eastAsia"/>
                <w:sz w:val="18"/>
                <w:szCs w:val="18"/>
              </w:rPr>
              <w:t>⑶、辅导员组织班委和学生代表对申请学生进行审查认定，逐项审核学生的自评表，根据评分确定等级。</w:t>
            </w:r>
          </w:p>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jc w:val="center"/>
        </w:trPr>
        <w:tc>
          <w:tcPr>
            <w:tcW w:w="800" w:type="dxa"/>
            <w:vMerge w:val="continue"/>
            <w:vAlign w:val="center"/>
          </w:tcPr>
          <w:p>
            <w:pPr>
              <w:jc w:val="center"/>
              <w:rPr>
                <w:rFonts w:hint="eastAsia"/>
                <w:bCs/>
                <w:szCs w:val="21"/>
              </w:rPr>
            </w:pPr>
          </w:p>
        </w:tc>
        <w:tc>
          <w:tcPr>
            <w:tcW w:w="6783" w:type="dxa"/>
            <w:vAlign w:val="center"/>
          </w:tcPr>
          <w:p>
            <w:pPr>
              <w:rPr>
                <w:rFonts w:hint="eastAsia"/>
                <w:bCs/>
                <w:sz w:val="18"/>
                <w:szCs w:val="18"/>
              </w:rPr>
            </w:pPr>
            <w:r>
              <w:rPr>
                <w:rFonts w:hint="eastAsia"/>
                <w:bCs/>
                <w:sz w:val="18"/>
                <w:szCs w:val="18"/>
              </w:rPr>
              <w:t>2、家中同时有两人上大学，平时学习、表现较好（5）分；家中同时有两人上大学（其中有一人上三本），平时学习、表现较好（10分）。</w:t>
            </w:r>
          </w:p>
        </w:tc>
        <w:tc>
          <w:tcPr>
            <w:tcW w:w="691" w:type="dxa"/>
            <w:vAlign w:val="center"/>
          </w:tcPr>
          <w:p>
            <w:pPr>
              <w:jc w:val="center"/>
              <w:rPr>
                <w:rFonts w:hint="eastAsia"/>
                <w:szCs w:val="21"/>
              </w:rPr>
            </w:pPr>
          </w:p>
        </w:tc>
        <w:tc>
          <w:tcPr>
            <w:tcW w:w="1755" w:type="dxa"/>
            <w:vMerge w:val="continue"/>
            <w:vAlign w:val="top"/>
          </w:tcPr>
          <w:p>
            <w:pPr>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800" w:type="dxa"/>
            <w:vMerge w:val="continue"/>
            <w:vAlign w:val="center"/>
          </w:tcPr>
          <w:p>
            <w:pPr>
              <w:jc w:val="center"/>
              <w:rPr>
                <w:rFonts w:hint="eastAsia"/>
                <w:bCs/>
                <w:szCs w:val="21"/>
              </w:rPr>
            </w:pPr>
          </w:p>
        </w:tc>
        <w:tc>
          <w:tcPr>
            <w:tcW w:w="6783" w:type="dxa"/>
            <w:vAlign w:val="center"/>
          </w:tcPr>
          <w:p>
            <w:pPr>
              <w:rPr>
                <w:rFonts w:hint="eastAsia"/>
                <w:bCs/>
                <w:sz w:val="18"/>
                <w:szCs w:val="18"/>
              </w:rPr>
            </w:pPr>
            <w:r>
              <w:rPr>
                <w:rFonts w:hint="eastAsia"/>
                <w:bCs/>
                <w:sz w:val="18"/>
                <w:szCs w:val="18"/>
              </w:rPr>
              <w:t>3、家中有一人生重病，本人平时学习、表现较好（5）分；</w:t>
            </w:r>
          </w:p>
        </w:tc>
        <w:tc>
          <w:tcPr>
            <w:tcW w:w="691" w:type="dxa"/>
            <w:vAlign w:val="center"/>
          </w:tcPr>
          <w:p>
            <w:pPr>
              <w:jc w:val="center"/>
              <w:rPr>
                <w:rFonts w:hint="eastAsia"/>
                <w:szCs w:val="21"/>
              </w:rPr>
            </w:pPr>
          </w:p>
        </w:tc>
        <w:tc>
          <w:tcPr>
            <w:tcW w:w="1755" w:type="dxa"/>
            <w:vMerge w:val="continue"/>
            <w:vAlign w:val="top"/>
          </w:tcPr>
          <w:p>
            <w:pPr>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0" w:type="dxa"/>
            <w:vMerge w:val="continue"/>
            <w:vAlign w:val="top"/>
          </w:tcPr>
          <w:p>
            <w:pPr>
              <w:jc w:val="center"/>
              <w:rPr>
                <w:rFonts w:hint="eastAsia"/>
                <w:bCs/>
                <w:szCs w:val="21"/>
              </w:rPr>
            </w:pPr>
          </w:p>
        </w:tc>
        <w:tc>
          <w:tcPr>
            <w:tcW w:w="6783" w:type="dxa"/>
            <w:vAlign w:val="top"/>
          </w:tcPr>
          <w:p>
            <w:pPr>
              <w:rPr>
                <w:rFonts w:hint="eastAsia" w:ascii="宋体" w:hAnsi="宋体" w:cs="宋体"/>
                <w:bCs/>
                <w:sz w:val="18"/>
                <w:szCs w:val="18"/>
              </w:rPr>
            </w:pPr>
            <w:r>
              <w:rPr>
                <w:rFonts w:hint="eastAsia"/>
                <w:bCs/>
                <w:sz w:val="18"/>
                <w:szCs w:val="18"/>
              </w:rPr>
              <w:t>4、来自老、少、边、穷地区的贫困学生，平时学习、表现良好（5分）、平时学习、表现较好（3分），平时学习、表现较差的不加分，家庭经济状况好的也不加分。</w:t>
            </w:r>
          </w:p>
        </w:tc>
        <w:tc>
          <w:tcPr>
            <w:tcW w:w="691" w:type="dxa"/>
            <w:vAlign w:val="center"/>
          </w:tcPr>
          <w:p>
            <w:pPr>
              <w:jc w:val="center"/>
              <w:rPr>
                <w:rFonts w:hint="eastAsia"/>
                <w:szCs w:val="21"/>
              </w:rPr>
            </w:pP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7" w:hRule="atLeast"/>
          <w:jc w:val="center"/>
        </w:trPr>
        <w:tc>
          <w:tcPr>
            <w:tcW w:w="800" w:type="dxa"/>
            <w:vMerge w:val="continue"/>
            <w:vAlign w:val="top"/>
          </w:tcPr>
          <w:p>
            <w:pPr>
              <w:jc w:val="center"/>
              <w:rPr>
                <w:rFonts w:hint="eastAsia"/>
                <w:bCs/>
                <w:szCs w:val="21"/>
              </w:rPr>
            </w:pPr>
          </w:p>
        </w:tc>
        <w:tc>
          <w:tcPr>
            <w:tcW w:w="6783" w:type="dxa"/>
            <w:vAlign w:val="top"/>
          </w:tcPr>
          <w:p>
            <w:pPr>
              <w:rPr>
                <w:rFonts w:hint="eastAsia" w:ascii="宋体" w:hAnsi="宋体" w:cs="宋体"/>
                <w:bCs/>
                <w:sz w:val="18"/>
                <w:szCs w:val="18"/>
              </w:rPr>
            </w:pPr>
            <w:r>
              <w:rPr>
                <w:rFonts w:hint="eastAsia"/>
                <w:bCs/>
                <w:sz w:val="18"/>
                <w:szCs w:val="18"/>
              </w:rPr>
              <w:t>5、办理了助学贷款的学生，平时学习、表现良好，（5分）；平时学习、表现较差的不加分，家庭经济不贫困的也不加分；不是因为本人原因，而是当地名额有限未能办理生源地助学贷款但已交清学费或未交清学费但已办理缓缴手续，平时本人学习、表现良好的（5分）；</w:t>
            </w:r>
          </w:p>
        </w:tc>
        <w:tc>
          <w:tcPr>
            <w:tcW w:w="691" w:type="dxa"/>
            <w:vAlign w:val="center"/>
          </w:tcPr>
          <w:p>
            <w:pPr>
              <w:jc w:val="center"/>
              <w:rPr>
                <w:rFonts w:hint="eastAsia"/>
                <w:szCs w:val="21"/>
              </w:rPr>
            </w:pP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800" w:type="dxa"/>
            <w:vMerge w:val="restart"/>
            <w:vAlign w:val="center"/>
          </w:tcPr>
          <w:p>
            <w:pPr>
              <w:jc w:val="center"/>
              <w:rPr>
                <w:rFonts w:hint="eastAsia"/>
                <w:bCs/>
                <w:szCs w:val="21"/>
                <w:lang w:eastAsia="zh-CN"/>
              </w:rPr>
            </w:pPr>
            <w:r>
              <w:rPr>
                <w:rFonts w:hint="eastAsia"/>
                <w:bCs/>
                <w:szCs w:val="21"/>
                <w:lang w:eastAsia="zh-CN"/>
              </w:rPr>
              <w:t>消</w:t>
            </w:r>
          </w:p>
          <w:p>
            <w:pPr>
              <w:jc w:val="center"/>
              <w:rPr>
                <w:rFonts w:hint="eastAsia"/>
                <w:bCs/>
                <w:szCs w:val="21"/>
                <w:lang w:eastAsia="zh-CN"/>
              </w:rPr>
            </w:pPr>
            <w:r>
              <w:rPr>
                <w:rFonts w:hint="eastAsia"/>
                <w:bCs/>
                <w:szCs w:val="21"/>
                <w:lang w:eastAsia="zh-CN"/>
              </w:rPr>
              <w:t>费</w:t>
            </w:r>
          </w:p>
          <w:p>
            <w:pPr>
              <w:jc w:val="center"/>
              <w:rPr>
                <w:rFonts w:hint="eastAsia"/>
                <w:bCs/>
                <w:szCs w:val="21"/>
                <w:lang w:eastAsia="zh-CN"/>
              </w:rPr>
            </w:pPr>
            <w:r>
              <w:rPr>
                <w:rFonts w:hint="eastAsia"/>
                <w:bCs/>
                <w:szCs w:val="21"/>
                <w:lang w:eastAsia="zh-CN"/>
              </w:rPr>
              <w:t>情</w:t>
            </w:r>
          </w:p>
          <w:p>
            <w:pPr>
              <w:jc w:val="center"/>
              <w:rPr>
                <w:rFonts w:hint="eastAsia"/>
                <w:bCs/>
                <w:szCs w:val="21"/>
              </w:rPr>
            </w:pPr>
            <w:r>
              <w:rPr>
                <w:rFonts w:hint="eastAsia"/>
                <w:bCs/>
                <w:szCs w:val="21"/>
                <w:lang w:eastAsia="zh-CN"/>
              </w:rPr>
              <w:t>况</w:t>
            </w:r>
            <w:r>
              <w:rPr>
                <w:rFonts w:hint="eastAsia"/>
                <w:bCs/>
                <w:szCs w:val="21"/>
                <w:lang w:val="en-US" w:eastAsia="zh-CN"/>
              </w:rPr>
              <w:t>30%</w:t>
            </w:r>
          </w:p>
        </w:tc>
        <w:tc>
          <w:tcPr>
            <w:tcW w:w="6783" w:type="dxa"/>
            <w:vAlign w:val="center"/>
          </w:tcPr>
          <w:p>
            <w:pPr>
              <w:rPr>
                <w:rFonts w:ascii="宋体" w:hAnsi="宋体" w:cs="宋体"/>
                <w:bCs/>
                <w:sz w:val="18"/>
                <w:szCs w:val="18"/>
              </w:rPr>
            </w:pPr>
            <w:r>
              <w:rPr>
                <w:rFonts w:hint="eastAsia"/>
                <w:bCs/>
                <w:sz w:val="18"/>
                <w:szCs w:val="18"/>
              </w:rPr>
              <w:t>1.衣着朴实，不购买名牌服装等高档消费品。不佩戴金首饰、不使用高档化妆品（10）；有其中一项（0分）</w:t>
            </w:r>
          </w:p>
        </w:tc>
        <w:tc>
          <w:tcPr>
            <w:tcW w:w="691" w:type="dxa"/>
            <w:vAlign w:val="center"/>
          </w:tcPr>
          <w:p>
            <w:pPr>
              <w:jc w:val="center"/>
              <w:rPr>
                <w:rFonts w:hint="eastAsia"/>
                <w:szCs w:val="21"/>
              </w:rPr>
            </w:pP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atLeast"/>
          <w:jc w:val="center"/>
        </w:trPr>
        <w:tc>
          <w:tcPr>
            <w:tcW w:w="800" w:type="dxa"/>
            <w:vMerge w:val="continue"/>
            <w:vAlign w:val="top"/>
          </w:tcPr>
          <w:p>
            <w:pPr>
              <w:jc w:val="center"/>
              <w:rPr>
                <w:rFonts w:hint="eastAsia"/>
                <w:bCs/>
                <w:szCs w:val="21"/>
              </w:rPr>
            </w:pPr>
          </w:p>
        </w:tc>
        <w:tc>
          <w:tcPr>
            <w:tcW w:w="6783" w:type="dxa"/>
            <w:vAlign w:val="top"/>
          </w:tcPr>
          <w:p>
            <w:pPr>
              <w:rPr>
                <w:rFonts w:hint="eastAsia" w:ascii="宋体" w:hAnsi="宋体" w:cs="宋体"/>
                <w:bCs/>
                <w:sz w:val="18"/>
                <w:szCs w:val="18"/>
              </w:rPr>
            </w:pPr>
            <w:r>
              <w:rPr>
                <w:rFonts w:hint="eastAsia"/>
                <w:bCs/>
                <w:sz w:val="18"/>
                <w:szCs w:val="18"/>
              </w:rPr>
              <w:t>2、有高档消费品：如</w:t>
            </w:r>
            <w:r>
              <w:rPr>
                <w:rFonts w:hint="eastAsia"/>
                <w:bCs/>
                <w:sz w:val="18"/>
                <w:szCs w:val="18"/>
                <w:lang w:val="en-US" w:eastAsia="zh-CN"/>
              </w:rPr>
              <w:t>Ipad</w:t>
            </w:r>
            <w:r>
              <w:rPr>
                <w:rFonts w:hint="eastAsia"/>
                <w:bCs/>
                <w:sz w:val="18"/>
                <w:szCs w:val="18"/>
              </w:rPr>
              <w:t>、高配置电脑等（0分)；没有以上高档消费品且表现优秀（10分 ）；有一般电脑平时学习表（8分）；没有以上高档消费品表现良好（5分）；有一般电脑平时学习表现一般（3分）；</w:t>
            </w:r>
          </w:p>
        </w:tc>
        <w:tc>
          <w:tcPr>
            <w:tcW w:w="691" w:type="dxa"/>
            <w:vAlign w:val="center"/>
          </w:tcPr>
          <w:p>
            <w:pPr>
              <w:jc w:val="center"/>
              <w:rPr>
                <w:rFonts w:hint="eastAsia"/>
                <w:szCs w:val="21"/>
              </w:rPr>
            </w:pP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0" w:type="dxa"/>
            <w:vMerge w:val="continue"/>
            <w:vAlign w:val="top"/>
          </w:tcPr>
          <w:p>
            <w:pPr>
              <w:jc w:val="center"/>
              <w:rPr>
                <w:rFonts w:hint="eastAsia"/>
                <w:bCs/>
                <w:szCs w:val="21"/>
              </w:rPr>
            </w:pPr>
          </w:p>
        </w:tc>
        <w:tc>
          <w:tcPr>
            <w:tcW w:w="6783" w:type="dxa"/>
            <w:vAlign w:val="top"/>
          </w:tcPr>
          <w:p>
            <w:pPr>
              <w:rPr>
                <w:rFonts w:hint="eastAsia" w:ascii="宋体" w:hAnsi="宋体" w:cs="宋体"/>
                <w:bCs/>
                <w:sz w:val="18"/>
                <w:szCs w:val="18"/>
              </w:rPr>
            </w:pPr>
            <w:r>
              <w:rPr>
                <w:rFonts w:hint="eastAsia"/>
                <w:bCs/>
                <w:sz w:val="18"/>
                <w:szCs w:val="18"/>
              </w:rPr>
              <w:t>3、没有经常到校外餐馆聚餐或到网吧通宵上网且平时学习表现较好（10分）；偶尔在外聚餐或上网且平时学习表现较好（6分）；经常到校外聚餐或到网吧上网（0分）</w:t>
            </w:r>
          </w:p>
        </w:tc>
        <w:tc>
          <w:tcPr>
            <w:tcW w:w="691" w:type="dxa"/>
            <w:vAlign w:val="center"/>
          </w:tcPr>
          <w:p>
            <w:pPr>
              <w:jc w:val="center"/>
              <w:rPr>
                <w:rFonts w:hint="eastAsia"/>
                <w:szCs w:val="21"/>
              </w:rPr>
            </w:pP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800" w:type="dxa"/>
            <w:vMerge w:val="restart"/>
            <w:vAlign w:val="center"/>
          </w:tcPr>
          <w:p>
            <w:pPr>
              <w:jc w:val="center"/>
              <w:rPr>
                <w:rFonts w:hint="eastAsia"/>
                <w:bCs/>
                <w:szCs w:val="21"/>
              </w:rPr>
            </w:pPr>
            <w:r>
              <w:rPr>
                <w:rFonts w:hint="eastAsia"/>
                <w:bCs/>
                <w:szCs w:val="21"/>
              </w:rPr>
              <w:t>学</w:t>
            </w:r>
          </w:p>
          <w:p>
            <w:pPr>
              <w:jc w:val="center"/>
              <w:rPr>
                <w:rFonts w:hint="eastAsia"/>
                <w:bCs/>
                <w:szCs w:val="21"/>
              </w:rPr>
            </w:pPr>
            <w:r>
              <w:rPr>
                <w:rFonts w:hint="eastAsia"/>
                <w:bCs/>
                <w:szCs w:val="21"/>
              </w:rPr>
              <w:t>习</w:t>
            </w:r>
          </w:p>
          <w:p>
            <w:pPr>
              <w:jc w:val="center"/>
              <w:rPr>
                <w:rFonts w:hint="eastAsia"/>
                <w:bCs/>
                <w:szCs w:val="21"/>
              </w:rPr>
            </w:pPr>
            <w:r>
              <w:rPr>
                <w:rFonts w:hint="eastAsia"/>
                <w:bCs/>
                <w:szCs w:val="21"/>
              </w:rPr>
              <w:t>情</w:t>
            </w:r>
          </w:p>
          <w:p>
            <w:pPr>
              <w:jc w:val="center"/>
              <w:rPr>
                <w:rFonts w:hint="eastAsia"/>
                <w:bCs/>
                <w:szCs w:val="21"/>
              </w:rPr>
            </w:pPr>
            <w:r>
              <w:rPr>
                <w:rFonts w:hint="eastAsia"/>
                <w:bCs/>
                <w:szCs w:val="21"/>
              </w:rPr>
              <w:t>况</w:t>
            </w:r>
          </w:p>
          <w:p>
            <w:pPr>
              <w:jc w:val="center"/>
              <w:rPr>
                <w:rFonts w:hint="eastAsia"/>
                <w:bCs/>
                <w:szCs w:val="21"/>
              </w:rPr>
            </w:pPr>
            <w:r>
              <w:rPr>
                <w:rFonts w:hint="eastAsia"/>
                <w:bCs/>
                <w:szCs w:val="21"/>
                <w:lang w:val="en-US" w:eastAsia="zh-CN"/>
              </w:rPr>
              <w:t>2</w:t>
            </w:r>
            <w:r>
              <w:rPr>
                <w:rFonts w:hint="eastAsia"/>
                <w:bCs/>
                <w:szCs w:val="21"/>
              </w:rPr>
              <w:t>0％</w:t>
            </w:r>
          </w:p>
        </w:tc>
        <w:tc>
          <w:tcPr>
            <w:tcW w:w="6783" w:type="dxa"/>
            <w:vAlign w:val="top"/>
          </w:tcPr>
          <w:p>
            <w:pPr>
              <w:rPr>
                <w:rFonts w:hint="eastAsia" w:ascii="宋体" w:hAnsi="宋体" w:cs="宋体"/>
                <w:bCs/>
                <w:sz w:val="18"/>
                <w:szCs w:val="18"/>
              </w:rPr>
            </w:pPr>
            <w:r>
              <w:rPr>
                <w:rFonts w:hint="eastAsia"/>
                <w:bCs/>
                <w:sz w:val="18"/>
                <w:szCs w:val="18"/>
              </w:rPr>
              <w:t>1、平时学习态度端正，学习勤奋，严谨踏实。获得院优秀学生奖学金（10分）；平时学习态度端正，学习勤奋，无旷课、迟到、早退等现象，但未获得院优秀学生奖学金（5分）；（大二以上学生按照此项评分）。.</w:t>
            </w:r>
          </w:p>
        </w:tc>
        <w:tc>
          <w:tcPr>
            <w:tcW w:w="691" w:type="dxa"/>
            <w:vAlign w:val="center"/>
          </w:tcPr>
          <w:p>
            <w:pPr>
              <w:jc w:val="center"/>
              <w:rPr>
                <w:rFonts w:hint="eastAsia"/>
                <w:szCs w:val="21"/>
              </w:rPr>
            </w:pP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3" w:hRule="atLeast"/>
          <w:jc w:val="center"/>
        </w:trPr>
        <w:tc>
          <w:tcPr>
            <w:tcW w:w="800" w:type="dxa"/>
            <w:vMerge w:val="continue"/>
            <w:vAlign w:val="top"/>
          </w:tcPr>
          <w:p>
            <w:pPr>
              <w:jc w:val="center"/>
              <w:rPr>
                <w:rFonts w:hint="eastAsia"/>
                <w:bCs/>
                <w:szCs w:val="21"/>
              </w:rPr>
            </w:pPr>
          </w:p>
        </w:tc>
        <w:tc>
          <w:tcPr>
            <w:tcW w:w="6783" w:type="dxa"/>
            <w:vAlign w:val="top"/>
          </w:tcPr>
          <w:p>
            <w:pPr>
              <w:rPr>
                <w:rFonts w:hint="eastAsia" w:ascii="宋体" w:hAnsi="宋体" w:cs="宋体"/>
                <w:bCs/>
                <w:sz w:val="18"/>
                <w:szCs w:val="18"/>
              </w:rPr>
            </w:pPr>
            <w:r>
              <w:rPr>
                <w:rFonts w:hint="eastAsia"/>
                <w:bCs/>
                <w:sz w:val="18"/>
                <w:szCs w:val="18"/>
              </w:rPr>
              <w:t>2、能遵守学校考场纪律，无作弊行为且无考试不及格（10分），无作弊行为但有一门考试不及格（5分），有两门不及格（0分）；有一次作弊行为（0分）；计算机等级考试和英语等级考试有舞弊行为取消助学金资格。（大二以上学生按照此项评分）。</w:t>
            </w:r>
          </w:p>
        </w:tc>
        <w:tc>
          <w:tcPr>
            <w:tcW w:w="691" w:type="dxa"/>
            <w:vAlign w:val="center"/>
          </w:tcPr>
          <w:p>
            <w:pPr>
              <w:jc w:val="center"/>
              <w:rPr>
                <w:rFonts w:hint="eastAsia"/>
                <w:szCs w:val="21"/>
              </w:rPr>
            </w:pP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jc w:val="center"/>
        </w:trPr>
        <w:tc>
          <w:tcPr>
            <w:tcW w:w="800" w:type="dxa"/>
            <w:vMerge w:val="continue"/>
            <w:vAlign w:val="top"/>
          </w:tcPr>
          <w:p>
            <w:pPr>
              <w:jc w:val="center"/>
              <w:rPr>
                <w:rFonts w:hint="eastAsia"/>
                <w:bCs/>
                <w:szCs w:val="21"/>
              </w:rPr>
            </w:pPr>
          </w:p>
        </w:tc>
        <w:tc>
          <w:tcPr>
            <w:tcW w:w="6783" w:type="dxa"/>
            <w:vAlign w:val="top"/>
          </w:tcPr>
          <w:p>
            <w:pPr>
              <w:rPr>
                <w:rFonts w:hint="eastAsia"/>
                <w:bCs/>
                <w:sz w:val="18"/>
                <w:szCs w:val="18"/>
              </w:rPr>
            </w:pPr>
            <w:r>
              <w:rPr>
                <w:rFonts w:hint="eastAsia"/>
                <w:bCs/>
                <w:sz w:val="18"/>
                <w:szCs w:val="18"/>
              </w:rPr>
              <w:t>3、新生成绩均按满分计算。</w:t>
            </w:r>
          </w:p>
        </w:tc>
        <w:tc>
          <w:tcPr>
            <w:tcW w:w="691" w:type="dxa"/>
            <w:vAlign w:val="center"/>
          </w:tcPr>
          <w:p>
            <w:pPr>
              <w:jc w:val="center"/>
              <w:rPr>
                <w:rFonts w:hint="eastAsia"/>
                <w:szCs w:val="21"/>
              </w:rPr>
            </w:pP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jc w:val="center"/>
        </w:trPr>
        <w:tc>
          <w:tcPr>
            <w:tcW w:w="800" w:type="dxa"/>
            <w:vMerge w:val="restart"/>
            <w:vAlign w:val="center"/>
          </w:tcPr>
          <w:p>
            <w:pPr>
              <w:jc w:val="center"/>
              <w:rPr>
                <w:rFonts w:hint="eastAsia"/>
                <w:bCs/>
                <w:szCs w:val="21"/>
              </w:rPr>
            </w:pPr>
            <w:r>
              <w:rPr>
                <w:rFonts w:hint="eastAsia"/>
                <w:bCs/>
                <w:szCs w:val="21"/>
              </w:rPr>
              <w:t>思</w:t>
            </w:r>
          </w:p>
          <w:p>
            <w:pPr>
              <w:jc w:val="center"/>
              <w:rPr>
                <w:rFonts w:hint="eastAsia"/>
                <w:bCs/>
                <w:szCs w:val="21"/>
              </w:rPr>
            </w:pPr>
            <w:r>
              <w:rPr>
                <w:rFonts w:hint="eastAsia"/>
                <w:bCs/>
                <w:szCs w:val="21"/>
              </w:rPr>
              <w:t>想</w:t>
            </w:r>
          </w:p>
          <w:p>
            <w:pPr>
              <w:jc w:val="center"/>
              <w:rPr>
                <w:rFonts w:hint="eastAsia"/>
                <w:bCs/>
                <w:szCs w:val="21"/>
              </w:rPr>
            </w:pPr>
            <w:r>
              <w:rPr>
                <w:rFonts w:hint="eastAsia"/>
                <w:bCs/>
                <w:szCs w:val="21"/>
              </w:rPr>
              <w:t>品</w:t>
            </w:r>
          </w:p>
          <w:p>
            <w:pPr>
              <w:jc w:val="center"/>
              <w:rPr>
                <w:rFonts w:hint="eastAsia"/>
                <w:bCs/>
                <w:szCs w:val="21"/>
              </w:rPr>
            </w:pPr>
            <w:r>
              <w:rPr>
                <w:rFonts w:hint="eastAsia"/>
                <w:bCs/>
                <w:szCs w:val="21"/>
              </w:rPr>
              <w:t>德</w:t>
            </w:r>
          </w:p>
          <w:p>
            <w:pPr>
              <w:jc w:val="center"/>
              <w:rPr>
                <w:rFonts w:hint="eastAsia"/>
                <w:bCs/>
                <w:szCs w:val="21"/>
              </w:rPr>
            </w:pPr>
            <w:r>
              <w:rPr>
                <w:rFonts w:hint="eastAsia"/>
                <w:bCs/>
                <w:szCs w:val="21"/>
                <w:lang w:val="en-US" w:eastAsia="zh-CN"/>
              </w:rPr>
              <w:t>1</w:t>
            </w:r>
            <w:r>
              <w:rPr>
                <w:rFonts w:hint="eastAsia"/>
                <w:bCs/>
                <w:szCs w:val="21"/>
              </w:rPr>
              <w:t>0％</w:t>
            </w:r>
          </w:p>
        </w:tc>
        <w:tc>
          <w:tcPr>
            <w:tcW w:w="6783" w:type="dxa"/>
            <w:vAlign w:val="top"/>
          </w:tcPr>
          <w:p>
            <w:pPr>
              <w:rPr>
                <w:rFonts w:hint="eastAsia" w:ascii="宋体" w:hAnsi="宋体" w:cs="宋体"/>
                <w:bCs/>
                <w:sz w:val="18"/>
                <w:szCs w:val="18"/>
              </w:rPr>
            </w:pPr>
            <w:r>
              <w:rPr>
                <w:rFonts w:hint="eastAsia"/>
                <w:bCs/>
                <w:sz w:val="18"/>
                <w:szCs w:val="18"/>
              </w:rPr>
              <w:t>1、诚信守约，不拖欠学费（10分），因家中经济困难未按时交齐学费，但能按规定时间及时办理缓缴手续，并按承诺时间缴清学费（10分），不诚信守约，未按规定时间及时办理缓缴手续，也未按承诺时间缴清学费，恶意拖欠学费。（0分）</w:t>
            </w:r>
          </w:p>
        </w:tc>
        <w:tc>
          <w:tcPr>
            <w:tcW w:w="691" w:type="dxa"/>
            <w:vAlign w:val="center"/>
          </w:tcPr>
          <w:p>
            <w:pPr>
              <w:jc w:val="center"/>
              <w:rPr>
                <w:rFonts w:hint="eastAsia"/>
                <w:szCs w:val="21"/>
              </w:rPr>
            </w:pP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800" w:type="dxa"/>
            <w:vMerge w:val="continue"/>
            <w:vAlign w:val="top"/>
          </w:tcPr>
          <w:p>
            <w:pPr>
              <w:jc w:val="center"/>
              <w:rPr>
                <w:rFonts w:hint="eastAsia"/>
                <w:bCs/>
                <w:szCs w:val="21"/>
              </w:rPr>
            </w:pPr>
          </w:p>
        </w:tc>
        <w:tc>
          <w:tcPr>
            <w:tcW w:w="6783" w:type="dxa"/>
            <w:vAlign w:val="top"/>
          </w:tcPr>
          <w:p>
            <w:pPr>
              <w:rPr>
                <w:rFonts w:hint="eastAsia" w:ascii="宋体" w:hAnsi="宋体" w:cs="宋体"/>
                <w:bCs/>
                <w:sz w:val="18"/>
                <w:szCs w:val="18"/>
              </w:rPr>
            </w:pPr>
            <w:r>
              <w:rPr>
                <w:rFonts w:hint="eastAsia"/>
                <w:bCs/>
                <w:sz w:val="18"/>
                <w:szCs w:val="18"/>
              </w:rPr>
              <w:t>2、积极上进，思想觉悟高，积极参加学院、系与班级活动，乐意为学院、系与班级奉献（操行评定优秀5分， 良好3分）（大二以上学生按照此项评分）。.</w:t>
            </w:r>
          </w:p>
        </w:tc>
        <w:tc>
          <w:tcPr>
            <w:tcW w:w="691" w:type="dxa"/>
            <w:vAlign w:val="center"/>
          </w:tcPr>
          <w:p>
            <w:pPr>
              <w:jc w:val="center"/>
              <w:rPr>
                <w:rFonts w:hint="eastAsia"/>
                <w:szCs w:val="21"/>
              </w:rPr>
            </w:pP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0" w:type="dxa"/>
            <w:vMerge w:val="continue"/>
            <w:vAlign w:val="top"/>
          </w:tcPr>
          <w:p>
            <w:pPr>
              <w:jc w:val="center"/>
              <w:rPr>
                <w:rFonts w:hint="eastAsia"/>
                <w:bCs/>
                <w:szCs w:val="21"/>
              </w:rPr>
            </w:pPr>
          </w:p>
        </w:tc>
        <w:tc>
          <w:tcPr>
            <w:tcW w:w="6783" w:type="dxa"/>
            <w:vAlign w:val="top"/>
          </w:tcPr>
          <w:p>
            <w:pPr>
              <w:rPr>
                <w:rFonts w:hint="eastAsia" w:ascii="宋体" w:hAnsi="宋体" w:cs="宋体"/>
                <w:bCs/>
                <w:sz w:val="18"/>
                <w:szCs w:val="18"/>
              </w:rPr>
            </w:pPr>
            <w:r>
              <w:rPr>
                <w:rFonts w:hint="eastAsia"/>
                <w:bCs/>
                <w:sz w:val="18"/>
                <w:szCs w:val="18"/>
              </w:rPr>
              <w:t>3、全学期无旷课、迟到、早退等行为，学习表现良好（5分）；无故旷课一节减1分，事假每3节减1分，（大二以上学生按照此项评分）。.</w:t>
            </w:r>
          </w:p>
        </w:tc>
        <w:tc>
          <w:tcPr>
            <w:tcW w:w="691" w:type="dxa"/>
            <w:vAlign w:val="center"/>
          </w:tcPr>
          <w:p>
            <w:pPr>
              <w:jc w:val="center"/>
              <w:rPr>
                <w:rFonts w:hint="eastAsia"/>
                <w:szCs w:val="21"/>
              </w:rPr>
            </w:pPr>
          </w:p>
          <w:p>
            <w:pPr>
              <w:jc w:val="center"/>
              <w:rPr>
                <w:rFonts w:hint="eastAsia"/>
                <w:szCs w:val="21"/>
              </w:rPr>
            </w:pP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800" w:type="dxa"/>
            <w:vMerge w:val="continue"/>
            <w:vAlign w:val="top"/>
          </w:tcPr>
          <w:p>
            <w:pPr>
              <w:jc w:val="center"/>
              <w:rPr>
                <w:rFonts w:hint="eastAsia"/>
                <w:bCs/>
                <w:szCs w:val="21"/>
              </w:rPr>
            </w:pPr>
          </w:p>
        </w:tc>
        <w:tc>
          <w:tcPr>
            <w:tcW w:w="6783" w:type="dxa"/>
            <w:vAlign w:val="top"/>
          </w:tcPr>
          <w:p>
            <w:pPr>
              <w:rPr>
                <w:rFonts w:hint="eastAsia"/>
                <w:bCs/>
                <w:sz w:val="18"/>
                <w:szCs w:val="18"/>
                <w:highlight w:val="yellow"/>
              </w:rPr>
            </w:pPr>
            <w:r>
              <w:rPr>
                <w:rFonts w:hint="eastAsia"/>
                <w:bCs/>
                <w:sz w:val="18"/>
                <w:szCs w:val="18"/>
                <w:highlight w:val="yellow"/>
              </w:rPr>
              <w:t>4、新生入学后，按时参加入学教育，无旷课现象（5）分，按时参加入学教育，有旷课现象（3）分。大二以上学生不照此项评分。</w:t>
            </w:r>
          </w:p>
        </w:tc>
        <w:tc>
          <w:tcPr>
            <w:tcW w:w="691" w:type="dxa"/>
            <w:vAlign w:val="center"/>
          </w:tcPr>
          <w:p>
            <w:pPr>
              <w:jc w:val="center"/>
              <w:rPr>
                <w:rFonts w:hint="eastAsia" w:eastAsia="宋体"/>
                <w:szCs w:val="21"/>
                <w:highlight w:val="yellow"/>
                <w:lang w:val="en-US" w:eastAsia="zh-CN"/>
              </w:rPr>
            </w:pPr>
            <w:r>
              <w:rPr>
                <w:rFonts w:hint="eastAsia"/>
                <w:szCs w:val="21"/>
                <w:highlight w:val="yellow"/>
                <w:lang w:val="en-US" w:eastAsia="zh-CN"/>
              </w:rPr>
              <w:t>新生</w:t>
            </w: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7" w:hRule="atLeast"/>
          <w:jc w:val="center"/>
        </w:trPr>
        <w:tc>
          <w:tcPr>
            <w:tcW w:w="800" w:type="dxa"/>
            <w:vAlign w:val="center"/>
          </w:tcPr>
          <w:p>
            <w:pPr>
              <w:jc w:val="center"/>
              <w:rPr>
                <w:rFonts w:hint="eastAsia"/>
                <w:bCs/>
                <w:szCs w:val="21"/>
              </w:rPr>
            </w:pPr>
            <w:r>
              <w:rPr>
                <w:rFonts w:hint="eastAsia"/>
                <w:bCs/>
                <w:szCs w:val="21"/>
              </w:rPr>
              <w:t>加</w:t>
            </w:r>
          </w:p>
          <w:p>
            <w:pPr>
              <w:jc w:val="center"/>
              <w:rPr>
                <w:rFonts w:hint="eastAsia"/>
                <w:bCs/>
                <w:szCs w:val="21"/>
              </w:rPr>
            </w:pPr>
            <w:r>
              <w:rPr>
                <w:rFonts w:hint="eastAsia"/>
                <w:bCs/>
                <w:szCs w:val="21"/>
              </w:rPr>
              <w:t>分</w:t>
            </w:r>
          </w:p>
        </w:tc>
        <w:tc>
          <w:tcPr>
            <w:tcW w:w="6783" w:type="dxa"/>
            <w:vAlign w:val="top"/>
          </w:tcPr>
          <w:p>
            <w:pPr>
              <w:rPr>
                <w:rFonts w:hint="eastAsia"/>
                <w:bCs/>
                <w:sz w:val="18"/>
                <w:szCs w:val="18"/>
              </w:rPr>
            </w:pPr>
            <w:r>
              <w:rPr>
                <w:rFonts w:hint="eastAsia"/>
                <w:bCs/>
                <w:sz w:val="18"/>
                <w:szCs w:val="18"/>
              </w:rPr>
              <w:t>1、获得省、市、院级荣誉：获得省及以上荣誉加5分，获得市级荣誉加3分，获得院级荣誉加1分；2、通过英语六级加5分，通过英语四级、三级加3分；</w:t>
            </w:r>
          </w:p>
          <w:p>
            <w:pPr>
              <w:rPr>
                <w:rFonts w:hint="eastAsia"/>
                <w:bCs/>
                <w:sz w:val="18"/>
                <w:szCs w:val="18"/>
              </w:rPr>
            </w:pPr>
            <w:r>
              <w:rPr>
                <w:rFonts w:hint="eastAsia"/>
                <w:bCs/>
                <w:sz w:val="18"/>
                <w:szCs w:val="18"/>
              </w:rPr>
              <w:t>3、家庭遭遇国家确定的突发性自然灾害，如洪灾、旱灾、雪灾、地震和泥石流等导致颗粒无收、房屋受损等重大灾情（10分 ）；家庭遭遇局部地区自然灾害导致农作物欠收（有相关证明材料，材料上需加盖村、乡、县民政部门三级公章）（5分）。</w:t>
            </w:r>
          </w:p>
        </w:tc>
        <w:tc>
          <w:tcPr>
            <w:tcW w:w="691" w:type="dxa"/>
            <w:vAlign w:val="top"/>
          </w:tcPr>
          <w:p>
            <w:pPr>
              <w:rPr>
                <w:rFonts w:hint="eastAsia"/>
                <w:szCs w:val="21"/>
              </w:rPr>
            </w:pPr>
          </w:p>
        </w:tc>
        <w:tc>
          <w:tcPr>
            <w:tcW w:w="1755" w:type="dxa"/>
            <w:vMerge w:val="continue"/>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800" w:type="dxa"/>
            <w:vAlign w:val="center"/>
          </w:tcPr>
          <w:p>
            <w:pPr>
              <w:jc w:val="center"/>
              <w:rPr>
                <w:rFonts w:hint="eastAsia"/>
                <w:szCs w:val="21"/>
              </w:rPr>
            </w:pPr>
          </w:p>
          <w:p>
            <w:pPr>
              <w:jc w:val="center"/>
              <w:rPr>
                <w:rFonts w:hint="eastAsia"/>
                <w:szCs w:val="21"/>
              </w:rPr>
            </w:pPr>
          </w:p>
        </w:tc>
        <w:tc>
          <w:tcPr>
            <w:tcW w:w="6783" w:type="dxa"/>
            <w:vAlign w:val="center"/>
          </w:tcPr>
          <w:p>
            <w:pPr>
              <w:jc w:val="center"/>
              <w:rPr>
                <w:rFonts w:hint="eastAsia"/>
                <w:bCs/>
                <w:szCs w:val="21"/>
              </w:rPr>
            </w:pPr>
            <w:r>
              <w:rPr>
                <w:rFonts w:hint="eastAsia"/>
                <w:bCs/>
                <w:szCs w:val="21"/>
              </w:rPr>
              <w:t>合计</w:t>
            </w:r>
          </w:p>
        </w:tc>
        <w:tc>
          <w:tcPr>
            <w:tcW w:w="691" w:type="dxa"/>
            <w:vAlign w:val="top"/>
          </w:tcPr>
          <w:p>
            <w:pPr>
              <w:rPr>
                <w:rFonts w:hint="eastAsia"/>
                <w:szCs w:val="21"/>
              </w:rPr>
            </w:pPr>
          </w:p>
        </w:tc>
        <w:tc>
          <w:tcPr>
            <w:tcW w:w="1755" w:type="dxa"/>
            <w:vAlign w:val="top"/>
          </w:tcPr>
          <w:p>
            <w:pPr>
              <w:rPr>
                <w:rFonts w:hint="eastAsia"/>
                <w:szCs w:val="21"/>
              </w:rPr>
            </w:pP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AE006C"/>
    <w:rsid w:val="44AE00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2017-10-13T07:53:00Z</dcterms:created>
  <dc:creator>李心</dc:creator>
  <cp:lastModifiedBy>李心</cp:lastModifiedBy>
  <dcterms:modified xsi:type="dcterms:W3CDTF">2017-10-13T08:01:05Z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2052-10.1.0.6759</vt:lpwstr>
  </property>
</Properties>
</file>